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91" w:rsidRDefault="002F37AC" w:rsidP="00057891">
      <w:pPr>
        <w:bidi/>
        <w:rPr>
          <w:rFonts w:ascii="Simplified Arabic" w:hAnsi="Simplified Arabic" w:cs="Simplified Arabic"/>
          <w:sz w:val="28"/>
          <w:szCs w:val="28"/>
          <w:rtl/>
        </w:rPr>
      </w:pPr>
      <w:r w:rsidRPr="002F37AC">
        <w:rPr>
          <w:rFonts w:ascii="Simplified Arabic" w:hAnsi="Simplified Arabic" w:cs="Simplified Arabic"/>
          <w:sz w:val="28"/>
          <w:szCs w:val="28"/>
        </w:rPr>
        <w:t>  </w:t>
      </w:r>
    </w:p>
    <w:p w:rsidR="00057891" w:rsidRPr="00ED3142" w:rsidRDefault="00ED3142" w:rsidP="00057891">
      <w:pPr>
        <w:bidi/>
        <w:rPr>
          <w:rFonts w:ascii="Simplified Arabic" w:hAnsi="Simplified Arabic" w:cs="Simplified Arabic"/>
          <w:b/>
          <w:bCs/>
          <w:sz w:val="28"/>
          <w:szCs w:val="28"/>
          <w:u w:val="single"/>
          <w:rtl/>
        </w:rPr>
      </w:pPr>
      <w:bookmarkStart w:id="0" w:name="_GoBack"/>
      <w:r w:rsidRPr="00ED3142">
        <w:rPr>
          <w:rFonts w:ascii="Simplified Arabic" w:hAnsi="Simplified Arabic" w:cs="Simplified Arabic" w:hint="cs"/>
          <w:b/>
          <w:bCs/>
          <w:sz w:val="28"/>
          <w:szCs w:val="28"/>
          <w:u w:val="single"/>
          <w:rtl/>
        </w:rPr>
        <w:t xml:space="preserve">التعديلات الخاصة بالمحضر القضائي وفقا القانون 23-12 المعدل </w:t>
      </w:r>
      <w:proofErr w:type="gramStart"/>
      <w:r w:rsidRPr="00ED3142">
        <w:rPr>
          <w:rFonts w:ascii="Simplified Arabic" w:hAnsi="Simplified Arabic" w:cs="Simplified Arabic" w:hint="cs"/>
          <w:b/>
          <w:bCs/>
          <w:sz w:val="28"/>
          <w:szCs w:val="28"/>
          <w:u w:val="single"/>
          <w:rtl/>
        </w:rPr>
        <w:t>و المتمم</w:t>
      </w:r>
      <w:proofErr w:type="gramEnd"/>
      <w:r w:rsidRPr="00ED3142">
        <w:rPr>
          <w:rFonts w:ascii="Simplified Arabic" w:hAnsi="Simplified Arabic" w:cs="Simplified Arabic" w:hint="cs"/>
          <w:b/>
          <w:bCs/>
          <w:sz w:val="28"/>
          <w:szCs w:val="28"/>
          <w:u w:val="single"/>
          <w:rtl/>
        </w:rPr>
        <w:t xml:space="preserve"> للقانون 06-03</w:t>
      </w:r>
    </w:p>
    <w:bookmarkEnd w:id="0"/>
    <w:p w:rsidR="002F37AC" w:rsidRPr="002F37AC" w:rsidRDefault="00057891" w:rsidP="00057891">
      <w:pPr>
        <w:bidi/>
        <w:rPr>
          <w:rFonts w:ascii="Simplified Arabic" w:hAnsi="Simplified Arabic" w:cs="Simplified Arabic"/>
          <w:sz w:val="28"/>
          <w:szCs w:val="28"/>
        </w:rPr>
      </w:pPr>
      <w:r>
        <w:rPr>
          <w:rFonts w:ascii="Simplified Arabic" w:hAnsi="Simplified Arabic" w:cs="Simplified Arabic" w:hint="cs"/>
          <w:b/>
          <w:bCs/>
          <w:sz w:val="28"/>
          <w:szCs w:val="28"/>
          <w:rtl/>
        </w:rPr>
        <w:t xml:space="preserve"> تعريف </w:t>
      </w:r>
      <w:r w:rsidR="002F37AC" w:rsidRPr="00057891">
        <w:rPr>
          <w:rFonts w:ascii="Simplified Arabic" w:hAnsi="Simplified Arabic" w:cs="Simplified Arabic"/>
          <w:b/>
          <w:bCs/>
          <w:sz w:val="28"/>
          <w:szCs w:val="28"/>
          <w:rtl/>
        </w:rPr>
        <w:t>المحضر القضائي</w:t>
      </w:r>
      <w:r w:rsidR="002F37AC" w:rsidRPr="002F37AC">
        <w:rPr>
          <w:rFonts w:ascii="Simplified Arabic" w:hAnsi="Simplified Arabic" w:cs="Simplified Arabic"/>
          <w:sz w:val="28"/>
          <w:szCs w:val="28"/>
          <w:rtl/>
        </w:rPr>
        <w:t xml:space="preserve"> ضابط عمومي مفوّض من قبل السلطة العمومية يتولى تسيير مكتب لحسابه الخاص وتحت مسؤوليته، ويوضع مكتبه تحت رقابة وكيل الجمهورية لمكان تواجده </w:t>
      </w:r>
      <w:proofErr w:type="gramStart"/>
      <w:r w:rsidR="002F37AC" w:rsidRPr="002F37AC">
        <w:rPr>
          <w:rFonts w:ascii="Simplified Arabic" w:hAnsi="Simplified Arabic" w:cs="Simplified Arabic"/>
          <w:sz w:val="28"/>
          <w:szCs w:val="28"/>
          <w:rtl/>
        </w:rPr>
        <w:t>و يمتد</w:t>
      </w:r>
      <w:proofErr w:type="gramEnd"/>
      <w:r w:rsidR="002F37AC" w:rsidRPr="002F37AC">
        <w:rPr>
          <w:rFonts w:ascii="Simplified Arabic" w:hAnsi="Simplified Arabic" w:cs="Simplified Arabic"/>
          <w:sz w:val="28"/>
          <w:szCs w:val="28"/>
          <w:rtl/>
        </w:rPr>
        <w:t xml:space="preserve"> الاختصاص الإقليمي لمكتبه إلى دائرة الاختصاص الإقليمي للمجلس القضائي التابع له</w:t>
      </w:r>
      <w:r w:rsidR="002F37AC"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b/>
          <w:bCs/>
          <w:sz w:val="28"/>
          <w:szCs w:val="28"/>
        </w:rPr>
      </w:pPr>
      <w:r w:rsidRPr="002F37AC">
        <w:rPr>
          <w:rFonts w:ascii="Simplified Arabic" w:hAnsi="Simplified Arabic" w:cs="Simplified Arabic"/>
          <w:b/>
          <w:bCs/>
          <w:sz w:val="28"/>
          <w:szCs w:val="28"/>
          <w:rtl/>
        </w:rPr>
        <w:t>النصوص القانونية المنظمة لمهنة المحضر القضائي</w:t>
      </w:r>
      <w:r w:rsidRPr="002F37AC">
        <w:rPr>
          <w:rFonts w:ascii="Simplified Arabic" w:hAnsi="Simplified Arabic" w:cs="Simplified Arabic"/>
          <w:b/>
          <w:bCs/>
          <w:sz w:val="28"/>
          <w:szCs w:val="28"/>
        </w:rPr>
        <w:t>:</w:t>
      </w:r>
    </w:p>
    <w:p w:rsidR="002F37AC" w:rsidRPr="00057891" w:rsidRDefault="002F37AC" w:rsidP="00057891">
      <w:pPr>
        <w:bidi/>
        <w:rPr>
          <w:rFonts w:ascii="Simplified Arabic" w:hAnsi="Simplified Arabic" w:cs="Simplified Arabic"/>
          <w:b/>
          <w:bCs/>
          <w:color w:val="FF0000"/>
          <w:sz w:val="28"/>
          <w:szCs w:val="28"/>
        </w:rPr>
      </w:pPr>
      <w:r w:rsidRPr="00057891">
        <w:rPr>
          <w:rFonts w:ascii="Simplified Arabic" w:hAnsi="Simplified Arabic" w:cs="Simplified Arabic"/>
          <w:b/>
          <w:bCs/>
          <w:color w:val="FF0000"/>
          <w:sz w:val="28"/>
          <w:szCs w:val="28"/>
        </w:rPr>
        <w:t xml:space="preserve">  – </w:t>
      </w:r>
      <w:r w:rsidRPr="00057891">
        <w:rPr>
          <w:rFonts w:ascii="Simplified Arabic" w:hAnsi="Simplified Arabic" w:cs="Simplified Arabic"/>
          <w:b/>
          <w:bCs/>
          <w:color w:val="FF0000"/>
          <w:sz w:val="28"/>
          <w:szCs w:val="28"/>
          <w:rtl/>
        </w:rPr>
        <w:t xml:space="preserve">القانون رقم 06-03 المؤرّخ في 20 فبراير سنة 2006، </w:t>
      </w:r>
      <w:r w:rsidRPr="00057891">
        <w:rPr>
          <w:rFonts w:ascii="Simplified Arabic" w:hAnsi="Simplified Arabic" w:cs="Simplified Arabic"/>
          <w:b/>
          <w:bCs/>
          <w:color w:val="FF0000"/>
          <w:sz w:val="28"/>
          <w:szCs w:val="28"/>
          <w:highlight w:val="yellow"/>
          <w:rtl/>
        </w:rPr>
        <w:t>معدل ومتمم القانون رقم 23-13 المؤرّخ في 5 غشت سنة 2023 ا</w:t>
      </w:r>
      <w:r w:rsidRPr="00057891">
        <w:rPr>
          <w:rFonts w:ascii="Simplified Arabic" w:hAnsi="Simplified Arabic" w:cs="Simplified Arabic"/>
          <w:b/>
          <w:bCs/>
          <w:color w:val="FF0000"/>
          <w:sz w:val="28"/>
          <w:szCs w:val="28"/>
          <w:rtl/>
        </w:rPr>
        <w:t>لمتضمّن تنظيم مهنة المحضر القضائي</w:t>
      </w:r>
      <w:r w:rsidRPr="00057891">
        <w:rPr>
          <w:rFonts w:ascii="Simplified Arabic" w:hAnsi="Simplified Arabic" w:cs="Simplified Arabic"/>
          <w:b/>
          <w:bCs/>
          <w:color w:val="FF0000"/>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المرسوم التنفيذي رقم 09-77 المؤرّخ في 11 فبراير سنة 2009 المحدد لشروط الالتحاق بمهنة المحضر القضائي وممارستها ونظامها التأديبي وقواعد تنظيمها، تم تعديله بموجب المرسوم التنفيذي رقم 18-85 المؤرخ في 5 مارس سنة 2018</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المرسوم التنفيذي رقم 09-78 المؤرّخ في 11 فبراير سنة 2009 المحدد لأتعاب المحضر القضائي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المرسوم التنفيذي رقم 09-79 المؤرّخ في 11 فبراير سنة 2009 المحدد لكيفيات مسك ومراجعة محاسبة المحضر القضائي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القرار المؤرخ في 1 سبتمبر سنة 1993 المتضمن النظام الداخلي للغرفة الوطنية للمحضرين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القرار المؤرخ في 1 سبتمبر سنة 1993 المتضمن النظام الداخلي للغرف الجهوية للمحضرين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القرار المؤرخ في 6 أكتوبر سنة 1993 المتضمن النظام الداخلي للمجلس الأعلى للمحضرين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b/>
          <w:bCs/>
          <w:sz w:val="28"/>
          <w:szCs w:val="28"/>
        </w:rPr>
      </w:pPr>
      <w:r w:rsidRPr="002F37AC">
        <w:rPr>
          <w:rFonts w:ascii="Simplified Arabic" w:hAnsi="Simplified Arabic" w:cs="Simplified Arabic"/>
          <w:b/>
          <w:bCs/>
          <w:sz w:val="28"/>
          <w:szCs w:val="28"/>
          <w:rtl/>
        </w:rPr>
        <w:t xml:space="preserve">شروط </w:t>
      </w:r>
      <w:proofErr w:type="spellStart"/>
      <w:r w:rsidRPr="002F37AC">
        <w:rPr>
          <w:rFonts w:ascii="Simplified Arabic" w:hAnsi="Simplified Arabic" w:cs="Simplified Arabic"/>
          <w:b/>
          <w:bCs/>
          <w:sz w:val="28"/>
          <w:szCs w:val="28"/>
          <w:rtl/>
        </w:rPr>
        <w:t>الإلتحاق</w:t>
      </w:r>
      <w:proofErr w:type="spellEnd"/>
      <w:r w:rsidRPr="002F37AC">
        <w:rPr>
          <w:rFonts w:ascii="Simplified Arabic" w:hAnsi="Simplified Arabic" w:cs="Simplified Arabic"/>
          <w:b/>
          <w:bCs/>
          <w:sz w:val="28"/>
          <w:szCs w:val="28"/>
          <w:rtl/>
        </w:rPr>
        <w:t xml:space="preserve"> بمهنة المحضر </w:t>
      </w:r>
      <w:proofErr w:type="gramStart"/>
      <w:r w:rsidRPr="002F37AC">
        <w:rPr>
          <w:rFonts w:ascii="Simplified Arabic" w:hAnsi="Simplified Arabic" w:cs="Simplified Arabic"/>
          <w:b/>
          <w:bCs/>
          <w:sz w:val="28"/>
          <w:szCs w:val="28"/>
          <w:rtl/>
        </w:rPr>
        <w:t>القضائي</w:t>
      </w:r>
      <w:r w:rsidRPr="002F37AC">
        <w:rPr>
          <w:rFonts w:ascii="Simplified Arabic" w:hAnsi="Simplified Arabic" w:cs="Simplified Arabic"/>
          <w:b/>
          <w:bCs/>
          <w:sz w:val="28"/>
          <w:szCs w:val="28"/>
        </w:rPr>
        <w:t xml:space="preserve"> :</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يشترط للالتحاق بمهنة المحضر القضائي الحصول على شهادة الكفاءة المهنية لمهنة المحضر القضائي بعد اجتياز مسابقة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 xml:space="preserve">تنظم وزارة العدل مسابقة الالتحاق بالتكوين للحصول على شهادة الكفاءة المهنية لمهنة المحضر القضائي بعد استشارة الغرفة الوطنية للمحضرين القضائيين ويشترط في المترشح للمسابقة الشروط </w:t>
      </w:r>
      <w:proofErr w:type="gramStart"/>
      <w:r w:rsidRPr="002F37AC">
        <w:rPr>
          <w:rFonts w:ascii="Simplified Arabic" w:hAnsi="Simplified Arabic" w:cs="Simplified Arabic"/>
          <w:sz w:val="28"/>
          <w:szCs w:val="28"/>
          <w:rtl/>
        </w:rPr>
        <w:t>الآتية</w:t>
      </w:r>
      <w:r w:rsidRPr="002F37AC">
        <w:rPr>
          <w:rFonts w:ascii="Simplified Arabic" w:hAnsi="Simplified Arabic" w:cs="Simplified Arabic"/>
          <w:sz w:val="28"/>
          <w:szCs w:val="28"/>
        </w:rPr>
        <w:t>:</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 </w:t>
      </w:r>
      <w:r w:rsidRPr="002F37AC">
        <w:rPr>
          <w:rFonts w:ascii="Simplified Arabic" w:hAnsi="Simplified Arabic" w:cs="Simplified Arabic"/>
          <w:sz w:val="28"/>
          <w:szCs w:val="28"/>
          <w:rtl/>
        </w:rPr>
        <w:t>التمتع بالجنسية الجزائرية،</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lastRenderedPageBreak/>
        <w:t xml:space="preserve">  • </w:t>
      </w:r>
      <w:r w:rsidRPr="002F37AC">
        <w:rPr>
          <w:rFonts w:ascii="Simplified Arabic" w:hAnsi="Simplified Arabic" w:cs="Simplified Arabic"/>
          <w:sz w:val="28"/>
          <w:szCs w:val="28"/>
          <w:rtl/>
        </w:rPr>
        <w:t>حيازة شهادة الليسانس في الحقوق أو شهادة أجنبية معادلة لها،</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 </w:t>
      </w:r>
      <w:r w:rsidRPr="002F37AC">
        <w:rPr>
          <w:rFonts w:ascii="Simplified Arabic" w:hAnsi="Simplified Arabic" w:cs="Simplified Arabic"/>
          <w:sz w:val="28"/>
          <w:szCs w:val="28"/>
          <w:rtl/>
        </w:rPr>
        <w:t>بلوغ سن 25 سنة على الأقل،</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 </w:t>
      </w:r>
      <w:r w:rsidRPr="002F37AC">
        <w:rPr>
          <w:rFonts w:ascii="Simplified Arabic" w:hAnsi="Simplified Arabic" w:cs="Simplified Arabic"/>
          <w:sz w:val="28"/>
          <w:szCs w:val="28"/>
          <w:rtl/>
        </w:rPr>
        <w:t>التمتع بالحقوق المدنية والسياسية،</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 </w:t>
      </w:r>
      <w:r w:rsidRPr="002F37AC">
        <w:rPr>
          <w:rFonts w:ascii="Simplified Arabic" w:hAnsi="Simplified Arabic" w:cs="Simplified Arabic"/>
          <w:sz w:val="28"/>
          <w:szCs w:val="28"/>
          <w:rtl/>
        </w:rPr>
        <w:t>التمتع بشروط الكفاءة البدنية والعقلية الضرورية لممارسة المهنة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 xml:space="preserve">يؤدي المحضر القضائي قبل الشروع في ممارسة مهامه أمام المجلس القضائي لمقر تواجد مكتبه، اليمين </w:t>
      </w:r>
      <w:proofErr w:type="gramStart"/>
      <w:r w:rsidRPr="002F37AC">
        <w:rPr>
          <w:rFonts w:ascii="Simplified Arabic" w:hAnsi="Simplified Arabic" w:cs="Simplified Arabic"/>
          <w:sz w:val="28"/>
          <w:szCs w:val="28"/>
          <w:rtl/>
        </w:rPr>
        <w:t>الآتية</w:t>
      </w:r>
      <w:r w:rsidRPr="002F37AC">
        <w:rPr>
          <w:rFonts w:ascii="Simplified Arabic" w:hAnsi="Simplified Arabic" w:cs="Simplified Arabic"/>
          <w:sz w:val="28"/>
          <w:szCs w:val="28"/>
        </w:rPr>
        <w:t xml:space="preserve"> :</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w:t>
      </w:r>
      <w:r w:rsidRPr="002F37AC">
        <w:rPr>
          <w:rFonts w:ascii="Simplified Arabic" w:hAnsi="Simplified Arabic" w:cs="Simplified Arabic"/>
          <w:sz w:val="28"/>
          <w:szCs w:val="28"/>
          <w:rtl/>
        </w:rPr>
        <w:t>بسم الله الرحمن الرحيم</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أقسم بالله العلي العظيم أن أقوم بعملي أحسن قيام، وأن أخلص في تأدية مهنتي وأكتم سرها وأسلك في كل الظروف سلوك المحضر القضائي الشريف. والله على ما أقول شهيد</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يحرر محضر بذلك في نسختين أصليتين، تحفظ إحداهما على مستوى المجلس القضائي والأخرى بوزارة العدل وتسلّم نسخة إلى المحضر القضائي المعني وترسل نسخة إلى الغرفة الوطنية للمحضرين القضائيين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ينهي وزير العدل، حافظ الأختام، بموجب قرار، مهام المحضر القضائي عند بلوغه سن سبعين (70) سنة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w:t>
      </w:r>
      <w:r w:rsidRPr="002F37AC">
        <w:rPr>
          <w:rFonts w:ascii="Simplified Arabic" w:hAnsi="Simplified Arabic" w:cs="Simplified Arabic"/>
          <w:sz w:val="28"/>
          <w:szCs w:val="28"/>
          <w:rtl/>
        </w:rPr>
        <w:t>يمكن وزير العدل، حافظ الأختام تمديد مهام المحضر القضائي إلى سن اثنتين وسبعين (72) سنة، بطلب من المحضر القضائي المعني أو من الغرفة الوطنية للمحضرين القضائيين أو من الغرفة الجهوية التي يقع بدائرة اختصاصها مكتب المعني أو من النائب العام المختص، إذا اقتضت الضرورة ذلك، مع مراعاة الحالة الصحية للمعني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b/>
          <w:bCs/>
          <w:sz w:val="28"/>
          <w:szCs w:val="28"/>
        </w:rPr>
      </w:pPr>
      <w:r w:rsidRPr="002F37AC">
        <w:rPr>
          <w:rFonts w:ascii="Simplified Arabic" w:hAnsi="Simplified Arabic" w:cs="Simplified Arabic"/>
          <w:b/>
          <w:bCs/>
          <w:sz w:val="28"/>
          <w:szCs w:val="28"/>
          <w:rtl/>
        </w:rPr>
        <w:t xml:space="preserve">مهام المحضر </w:t>
      </w:r>
      <w:proofErr w:type="gramStart"/>
      <w:r w:rsidRPr="002F37AC">
        <w:rPr>
          <w:rFonts w:ascii="Simplified Arabic" w:hAnsi="Simplified Arabic" w:cs="Simplified Arabic"/>
          <w:b/>
          <w:bCs/>
          <w:sz w:val="28"/>
          <w:szCs w:val="28"/>
          <w:rtl/>
        </w:rPr>
        <w:t>القضائي</w:t>
      </w:r>
      <w:r w:rsidRPr="002F37AC">
        <w:rPr>
          <w:rFonts w:ascii="Simplified Arabic" w:hAnsi="Simplified Arabic" w:cs="Simplified Arabic"/>
          <w:b/>
          <w:bCs/>
          <w:sz w:val="28"/>
          <w:szCs w:val="28"/>
        </w:rPr>
        <w:t xml:space="preserve"> :</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 xml:space="preserve">يضطلع بالعديد من المهام من </w:t>
      </w:r>
      <w:proofErr w:type="gramStart"/>
      <w:r w:rsidRPr="002F37AC">
        <w:rPr>
          <w:rFonts w:ascii="Simplified Arabic" w:hAnsi="Simplified Arabic" w:cs="Simplified Arabic"/>
          <w:sz w:val="28"/>
          <w:szCs w:val="28"/>
          <w:rtl/>
        </w:rPr>
        <w:t>بينها</w:t>
      </w:r>
      <w:r w:rsidRPr="002F37AC">
        <w:rPr>
          <w:rFonts w:ascii="Simplified Arabic" w:hAnsi="Simplified Arabic" w:cs="Simplified Arabic"/>
          <w:sz w:val="28"/>
          <w:szCs w:val="28"/>
        </w:rPr>
        <w:t xml:space="preserve"> :</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تبليغ العقود والعرائض والسندات والإعلانات التي تنص عليها القوانين والتنظيمات ما لم يحدد القانون طريقة أخرى للتبليغ،</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تنفيذ الأوامر والأحكام والقرارات القضائية والسندات التنفيذية، طبقا للتشريع الساري المفعول،</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lastRenderedPageBreak/>
        <w:t xml:space="preserve">– </w:t>
      </w:r>
      <w:r w:rsidRPr="002F37AC">
        <w:rPr>
          <w:rFonts w:ascii="Simplified Arabic" w:hAnsi="Simplified Arabic" w:cs="Simplified Arabic"/>
          <w:sz w:val="28"/>
          <w:szCs w:val="28"/>
          <w:rtl/>
        </w:rPr>
        <w:t>الجرد والتقييم والبيع بالمزاد العلني للمنقولات المادية أو غير المادية والعقارات التي ينص عليها القانون أو الأحكام والقرارات القضائية أو بطلب من الأطراف، مع مراعاة أحكام نص المادة 720 من قانون الإجراءات المدنية والإدارية، المعدل والمتمم، وصلاحيات إدارة أملاك الدولة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بيع المنقولات والأموال المنقولة المادية للمتأخرين عن دفع الضريبة، مع مراعاة التشريع الساري المفعول،</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بيع المنقولات والعقارات المحجوزة بالمزاد العلني طبقا للتشريع الساري المفعول،</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القيام بالمزايدات المتعلقة بالإيجار والبيع بطلب من الإدارات والمؤسسات العمومية والخاصة، وفقا للتشريع الساري المفعول،</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القيام بتحصيل الديون المستحقة وديا أو قضائيا أو قبول عرضها وإيداعها،</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بيع أموال المؤسسات الخاضعة للتصفية، ما لم يوجد نص قانوني يقضي بخلاف ذلك،</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القيام بمعاينات مادية بحتة بناء على طلب الأطراف، وبكل الوسائل المتاحة،</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القيام بمعاينات أو استجوابات أو إنذارات بناء على أمر قضائي، أو تلقي تصريحات دون إبداء رأيه،</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تقديم استشارات في حدود اختصاصه، وتمكينه من إجراء الوساطة والصلح،</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يتعين على المحضر القضائي أن يحرر العقود والسندات باللغة العربية، كما يتعين عليه توقيعها ودمغها بخاتم الدولة أو التوقيع عليها إلكترونيًا، تحت طائلة البطلان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ويسجل ويحفظ أصول العقود ورقيا وإلكترونيًا وفقا للقوانين والتنظيمات السارية المفعول</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يمكن للمساعدين الرئيسيين، بعد تأدية اليمين القانونية المنصوص عليها في المادة 17 من هذا القانون، أن يقوموا باسم المحضر القضائي صاحب المكتب بتبليغ المحررات القضائية وغير القضائية فقط</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يؤدي المساعدون الرئيسيون، قبل الشروع في ممارسة مهامهم أمام المحكمة المختصة، اليمين الآتية</w:t>
      </w:r>
      <w:r w:rsidRPr="002F37AC">
        <w:rPr>
          <w:rFonts w:ascii="Simplified Arabic" w:hAnsi="Simplified Arabic" w:cs="Simplified Arabic"/>
          <w:sz w:val="28"/>
          <w:szCs w:val="28"/>
        </w:rPr>
        <w:t xml:space="preserve"> :</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w:t>
      </w:r>
      <w:r w:rsidRPr="002F37AC">
        <w:rPr>
          <w:rFonts w:ascii="Simplified Arabic" w:hAnsi="Simplified Arabic" w:cs="Simplified Arabic"/>
          <w:sz w:val="28"/>
          <w:szCs w:val="28"/>
          <w:rtl/>
        </w:rPr>
        <w:t>بسم الله الرحمن الرحيم</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 xml:space="preserve">أقسم بالله العلي العظيم أن أقوم بعملي أحسن قيام، وأن أخلص في تأدية مهامي وأكتم سرها وأسلك في كل الظروف سلوك مساعد المحضر القضائي الشريف والله على ما أقول </w:t>
      </w:r>
      <w:proofErr w:type="gramStart"/>
      <w:r w:rsidRPr="002F37AC">
        <w:rPr>
          <w:rFonts w:ascii="Simplified Arabic" w:hAnsi="Simplified Arabic" w:cs="Simplified Arabic"/>
          <w:sz w:val="28"/>
          <w:szCs w:val="28"/>
          <w:rtl/>
        </w:rPr>
        <w:t>شهيد</w:t>
      </w:r>
      <w:r w:rsidRPr="002F37AC">
        <w:rPr>
          <w:rFonts w:ascii="Simplified Arabic" w:hAnsi="Simplified Arabic" w:cs="Simplified Arabic"/>
          <w:sz w:val="28"/>
          <w:szCs w:val="28"/>
        </w:rPr>
        <w:t xml:space="preserve"> ”</w:t>
      </w:r>
      <w:proofErr w:type="gramEnd"/>
      <w:r w:rsidRPr="002F37AC">
        <w:rPr>
          <w:rFonts w:ascii="Simplified Arabic" w:hAnsi="Simplified Arabic" w:cs="Simplified Arabic"/>
          <w:sz w:val="28"/>
          <w:szCs w:val="28"/>
        </w:rPr>
        <w:t xml:space="preserve"> .</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lastRenderedPageBreak/>
        <w:t xml:space="preserve">– </w:t>
      </w:r>
      <w:r w:rsidRPr="002F37AC">
        <w:rPr>
          <w:rFonts w:ascii="Simplified Arabic" w:hAnsi="Simplified Arabic" w:cs="Simplified Arabic"/>
          <w:sz w:val="28"/>
          <w:szCs w:val="28"/>
          <w:rtl/>
        </w:rPr>
        <w:t>يحرر محضر بذلك، تحفظ النسخة الأصلية منه لدى المجلس القضائي، وتسلّم نسخة منه إلى مساعد المحضر القضائي، وترسل نسخة إلى الغرفة الوطنية للمحضرين القضائيين</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b/>
          <w:bCs/>
          <w:sz w:val="28"/>
          <w:szCs w:val="28"/>
        </w:rPr>
      </w:pPr>
      <w:r w:rsidRPr="002F37AC">
        <w:rPr>
          <w:rFonts w:ascii="Simplified Arabic" w:hAnsi="Simplified Arabic" w:cs="Simplified Arabic"/>
          <w:b/>
          <w:bCs/>
          <w:sz w:val="28"/>
          <w:szCs w:val="28"/>
          <w:rtl/>
        </w:rPr>
        <w:t xml:space="preserve">واجبات المحضر </w:t>
      </w:r>
      <w:proofErr w:type="gramStart"/>
      <w:r w:rsidRPr="002F37AC">
        <w:rPr>
          <w:rFonts w:ascii="Simplified Arabic" w:hAnsi="Simplified Arabic" w:cs="Simplified Arabic"/>
          <w:b/>
          <w:bCs/>
          <w:sz w:val="28"/>
          <w:szCs w:val="28"/>
          <w:rtl/>
        </w:rPr>
        <w:t>القضائي</w:t>
      </w:r>
      <w:r w:rsidRPr="002F37AC">
        <w:rPr>
          <w:rFonts w:ascii="Simplified Arabic" w:hAnsi="Simplified Arabic" w:cs="Simplified Arabic"/>
          <w:b/>
          <w:bCs/>
          <w:sz w:val="28"/>
          <w:szCs w:val="28"/>
        </w:rPr>
        <w:t xml:space="preserve"> :</w:t>
      </w:r>
      <w:proofErr w:type="gramEnd"/>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يجب على المحضر القضائي أن يقوم بمهامه كلّما طلب منه ذلك، إلا في حالة وجود مانع</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وفي هذه الحالة، يمكن صاحب المصلحة أن يرفع الأمر لرئيس المحكمة المختصة الذي يبت فيه بأمر نهائي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 xml:space="preserve">يجب على المحضر القضائي أن يتقيد، في أداء المهام المسندة إليه، بالالتزامات التي تفرضها القوانين والتنظيمات وأخلاقيات المهنة، وأن يقوم بالمهام المسندة إليه في الآجال المحددة قانونًا أو قضاء. </w:t>
      </w:r>
      <w:proofErr w:type="gramStart"/>
      <w:r w:rsidRPr="002F37AC">
        <w:rPr>
          <w:rFonts w:ascii="Simplified Arabic" w:hAnsi="Simplified Arabic" w:cs="Simplified Arabic"/>
          <w:sz w:val="28"/>
          <w:szCs w:val="28"/>
          <w:rtl/>
        </w:rPr>
        <w:t>و في</w:t>
      </w:r>
      <w:proofErr w:type="gramEnd"/>
      <w:r w:rsidRPr="002F37AC">
        <w:rPr>
          <w:rFonts w:ascii="Simplified Arabic" w:hAnsi="Simplified Arabic" w:cs="Simplified Arabic"/>
          <w:sz w:val="28"/>
          <w:szCs w:val="28"/>
          <w:rtl/>
        </w:rPr>
        <w:t xml:space="preserve"> غير هذه الحالات، يلزم بالقيام بها ضمن أحسن الآجال، ويتعيّن عليه عصرنة </w:t>
      </w:r>
      <w:proofErr w:type="spellStart"/>
      <w:r w:rsidRPr="002F37AC">
        <w:rPr>
          <w:rFonts w:ascii="Simplified Arabic" w:hAnsi="Simplified Arabic" w:cs="Simplified Arabic"/>
          <w:sz w:val="28"/>
          <w:szCs w:val="28"/>
          <w:rtl/>
        </w:rPr>
        <w:t>ورقمنة</w:t>
      </w:r>
      <w:proofErr w:type="spellEnd"/>
      <w:r w:rsidRPr="002F37AC">
        <w:rPr>
          <w:rFonts w:ascii="Simplified Arabic" w:hAnsi="Simplified Arabic" w:cs="Simplified Arabic"/>
          <w:sz w:val="28"/>
          <w:szCs w:val="28"/>
          <w:rtl/>
        </w:rPr>
        <w:t xml:space="preserve"> مكتبه العمومي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يُلزم المحضر القضائي بالسر المهني، فلا يجوز له أن ينشر أو يفشي المعلومات التي اطلع عليها بمناسبة أداء مهامه إلا بإذن من الأطراف أو مقتضيات أو إعفاءات منصوص عليها في التشريع الساري المفعول</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يجب على المحضر القضائي إبلاغ الهيئة المتخصصة في الاستعلام المالي بكل عملية تتعلق بأموال يشتبه أنها متحصل عليها من جريمة أو يبدو أنها موجهة لتبييض الأموال و/أو تمويل الإرهاب و/أو تمويل انتشار أسلحة الدمار الشامل</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يلزم المحضر القضائي بإبلاغ وكيل الجمهورية المختص بكل حالة معروضة عليه قد تمس بالمال العام بطريقة مباشرة أو غير مباشرة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 xml:space="preserve">يمنع في جميع الحالات على المحضر </w:t>
      </w:r>
      <w:proofErr w:type="spellStart"/>
      <w:r w:rsidRPr="002F37AC">
        <w:rPr>
          <w:rFonts w:ascii="Simplified Arabic" w:hAnsi="Simplified Arabic" w:cs="Simplified Arabic"/>
          <w:sz w:val="28"/>
          <w:szCs w:val="28"/>
          <w:rtl/>
        </w:rPr>
        <w:t>القضائى</w:t>
      </w:r>
      <w:proofErr w:type="spellEnd"/>
      <w:r w:rsidRPr="002F37AC">
        <w:rPr>
          <w:rFonts w:ascii="Simplified Arabic" w:hAnsi="Simplified Arabic" w:cs="Simplified Arabic"/>
          <w:sz w:val="28"/>
          <w:szCs w:val="28"/>
          <w:rtl/>
        </w:rPr>
        <w:t xml:space="preserve"> عرقلة سير هياكل المهنة أو عرقلة تنفيذ قرارات وتوجيهات الغرف أو السلطة الوصية وعدم الامتثال إليها</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يكون المحضر القضائي وكيلاً في العمليات التي تدخل ضمن مجال اختصاصه، ويقوم بها دون أمر من القضاء</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tl/>
        </w:rPr>
        <w:t>تعدّ هذه الوكالة عقدًا مدنيًا يخضع للقواعد المنصوص عليها في القانون المدني</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يجب على المحضر القضائي، تحت طائلة البطلان، دمغ نسخ العقود والسندات التي يقوم بتحريرها أو تسليمها، بخاتم الدولة الخاص به أو التوقيع عليها إلكترونيًا</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lastRenderedPageBreak/>
        <w:t xml:space="preserve">– </w:t>
      </w:r>
      <w:r w:rsidRPr="002F37AC">
        <w:rPr>
          <w:rFonts w:ascii="Simplified Arabic" w:hAnsi="Simplified Arabic" w:cs="Simplified Arabic"/>
          <w:sz w:val="28"/>
          <w:szCs w:val="28"/>
          <w:rtl/>
        </w:rPr>
        <w:t>يتعين على المحضر القضائي اكتتاب تأمين لضمان مسؤوليته المدنية</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يكون المحضر القضائي مسؤولاً مدنيًا عن الضرر الذي يتسبب فيه مساعدوه، ولا سيما منها حالات البطلان والغرامات والاسترداد والمصاريف</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sz w:val="28"/>
          <w:szCs w:val="28"/>
        </w:rPr>
      </w:pPr>
      <w:r w:rsidRPr="002F37AC">
        <w:rPr>
          <w:rFonts w:ascii="Simplified Arabic" w:hAnsi="Simplified Arabic" w:cs="Simplified Arabic"/>
          <w:sz w:val="28"/>
          <w:szCs w:val="28"/>
        </w:rPr>
        <w:t xml:space="preserve">– </w:t>
      </w:r>
      <w:r w:rsidRPr="002F37AC">
        <w:rPr>
          <w:rFonts w:ascii="Simplified Arabic" w:hAnsi="Simplified Arabic" w:cs="Simplified Arabic"/>
          <w:sz w:val="28"/>
          <w:szCs w:val="28"/>
          <w:rtl/>
        </w:rPr>
        <w:t>يمكن المحضر القضائي فتح حساب ودائع لدى بريد الجزائر، ليودع فيها المبالغ التي بحوزته</w:t>
      </w:r>
      <w:r w:rsidRPr="002F37AC">
        <w:rPr>
          <w:rFonts w:ascii="Simplified Arabic" w:hAnsi="Simplified Arabic" w:cs="Simplified Arabic"/>
          <w:sz w:val="28"/>
          <w:szCs w:val="28"/>
        </w:rPr>
        <w:t>.</w:t>
      </w:r>
    </w:p>
    <w:p w:rsidR="002F37AC" w:rsidRPr="002F37AC" w:rsidRDefault="002F37AC" w:rsidP="00057891">
      <w:pPr>
        <w:bidi/>
        <w:rPr>
          <w:rFonts w:ascii="Simplified Arabic" w:hAnsi="Simplified Arabic" w:cs="Simplified Arabic"/>
          <w:b/>
          <w:bCs/>
          <w:sz w:val="28"/>
          <w:szCs w:val="28"/>
        </w:rPr>
      </w:pPr>
      <w:r w:rsidRPr="002F37AC">
        <w:rPr>
          <w:rFonts w:ascii="Simplified Arabic" w:hAnsi="Simplified Arabic" w:cs="Simplified Arabic"/>
          <w:b/>
          <w:bCs/>
          <w:sz w:val="28"/>
          <w:szCs w:val="28"/>
          <w:rtl/>
        </w:rPr>
        <w:t>أتعاب المحضر القضائي</w:t>
      </w:r>
    </w:p>
    <w:p w:rsidR="002F37AC" w:rsidRPr="002F37AC" w:rsidRDefault="00ED3142" w:rsidP="00057891">
      <w:pPr>
        <w:bidi/>
        <w:rPr>
          <w:rFonts w:ascii="Simplified Arabic" w:hAnsi="Simplified Arabic" w:cs="Simplified Arabic"/>
          <w:sz w:val="28"/>
          <w:szCs w:val="28"/>
        </w:rPr>
      </w:pPr>
      <w:hyperlink r:id="rId4" w:tgtFrame="_blank" w:history="1">
        <w:r w:rsidR="002F37AC" w:rsidRPr="002F37AC">
          <w:rPr>
            <w:rStyle w:val="Lienhypertexte"/>
            <w:rFonts w:ascii="Simplified Arabic" w:hAnsi="Simplified Arabic" w:cs="Simplified Arabic"/>
            <w:b/>
            <w:bCs/>
            <w:sz w:val="28"/>
            <w:szCs w:val="28"/>
            <w:rtl/>
          </w:rPr>
          <w:t xml:space="preserve">أنقر هنا، </w:t>
        </w:r>
        <w:proofErr w:type="spellStart"/>
        <w:r w:rsidR="002F37AC" w:rsidRPr="002F37AC">
          <w:rPr>
            <w:rStyle w:val="Lienhypertexte"/>
            <w:rFonts w:ascii="Simplified Arabic" w:hAnsi="Simplified Arabic" w:cs="Simplified Arabic"/>
            <w:b/>
            <w:bCs/>
            <w:sz w:val="28"/>
            <w:szCs w:val="28"/>
            <w:rtl/>
          </w:rPr>
          <w:t>للإطلاع</w:t>
        </w:r>
        <w:proofErr w:type="spellEnd"/>
        <w:r w:rsidR="002F37AC" w:rsidRPr="002F37AC">
          <w:rPr>
            <w:rStyle w:val="Lienhypertexte"/>
            <w:rFonts w:ascii="Simplified Arabic" w:hAnsi="Simplified Arabic" w:cs="Simplified Arabic"/>
            <w:b/>
            <w:bCs/>
            <w:sz w:val="28"/>
            <w:szCs w:val="28"/>
            <w:rtl/>
          </w:rPr>
          <w:t xml:space="preserve"> على أتعاب المحضر القضائي (ملحق المرسوم التنفيذي رقم 09-78)</w:t>
        </w:r>
        <w:r w:rsidR="002F37AC" w:rsidRPr="002F37AC">
          <w:rPr>
            <w:rStyle w:val="Lienhypertexte"/>
            <w:rFonts w:ascii="Simplified Arabic" w:hAnsi="Simplified Arabic" w:cs="Simplified Arabic"/>
            <w:b/>
            <w:bCs/>
            <w:sz w:val="28"/>
            <w:szCs w:val="28"/>
          </w:rPr>
          <w:t>.</w:t>
        </w:r>
      </w:hyperlink>
    </w:p>
    <w:p w:rsidR="00682CE3" w:rsidRPr="002F37AC" w:rsidRDefault="00682CE3" w:rsidP="002F37AC">
      <w:pPr>
        <w:jc w:val="right"/>
        <w:rPr>
          <w:rFonts w:ascii="Simplified Arabic" w:hAnsi="Simplified Arabic" w:cs="Simplified Arabic"/>
          <w:sz w:val="28"/>
          <w:szCs w:val="28"/>
        </w:rPr>
      </w:pPr>
    </w:p>
    <w:sectPr w:rsidR="00682CE3" w:rsidRPr="002F3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AC"/>
    <w:rsid w:val="00057891"/>
    <w:rsid w:val="002F37AC"/>
    <w:rsid w:val="00682CE3"/>
    <w:rsid w:val="008870BB"/>
    <w:rsid w:val="00ED31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AE18"/>
  <w15:chartTrackingRefBased/>
  <w15:docId w15:val="{C00B8949-01C2-4CA2-83D0-5C18A6F0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justice.dz/wp-content/uploads/2019/pdf/jo2009011_honoraires_hj.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1025</Words>
  <Characters>5639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SACC</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mohamed</dc:creator>
  <cp:keywords/>
  <dc:description/>
  <cp:lastModifiedBy>leila mohamed</cp:lastModifiedBy>
  <cp:revision>3</cp:revision>
  <dcterms:created xsi:type="dcterms:W3CDTF">2024-10-14T21:04:00Z</dcterms:created>
  <dcterms:modified xsi:type="dcterms:W3CDTF">2024-11-19T19:25:00Z</dcterms:modified>
</cp:coreProperties>
</file>